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719"/>
        <w:tblW w:w="10885" w:type="dxa"/>
        <w:tblLook w:val="04A0" w:firstRow="1" w:lastRow="0" w:firstColumn="1" w:lastColumn="0" w:noHBand="0" w:noVBand="1"/>
      </w:tblPr>
      <w:tblGrid>
        <w:gridCol w:w="9085"/>
        <w:gridCol w:w="1800"/>
      </w:tblGrid>
      <w:tr w:rsidR="00B211B1" w14:paraId="17E289D1" w14:textId="77777777" w:rsidTr="00B211B1">
        <w:tc>
          <w:tcPr>
            <w:tcW w:w="10885" w:type="dxa"/>
            <w:gridSpan w:val="2"/>
            <w:shd w:val="clear" w:color="auto" w:fill="A5C9EB" w:themeFill="text2" w:themeFillTint="40"/>
            <w:vAlign w:val="center"/>
          </w:tcPr>
          <w:p w14:paraId="579F5DE9" w14:textId="77777777" w:rsidR="00B211B1" w:rsidRPr="007C31BB" w:rsidRDefault="00B211B1" w:rsidP="00B211B1">
            <w:pPr>
              <w:rPr>
                <w:b/>
                <w:bCs/>
              </w:rPr>
            </w:pPr>
            <w:r>
              <w:rPr>
                <w:b/>
                <w:bCs/>
                <w:sz w:val="36"/>
                <w:szCs w:val="36"/>
              </w:rPr>
              <w:t>NONPROFIT FINANCIAL MANAGEMENT SELF-ASSESSMENT TOOL</w:t>
            </w:r>
          </w:p>
        </w:tc>
      </w:tr>
      <w:tr w:rsidR="00B211B1" w14:paraId="3933EA97" w14:textId="77777777" w:rsidTr="00B211B1">
        <w:tc>
          <w:tcPr>
            <w:tcW w:w="10885" w:type="dxa"/>
            <w:gridSpan w:val="2"/>
            <w:shd w:val="clear" w:color="auto" w:fill="D9F2D0" w:themeFill="accent6" w:themeFillTint="33"/>
          </w:tcPr>
          <w:p w14:paraId="68CDC60E" w14:textId="7BAD66A1" w:rsidR="00B211B1" w:rsidRPr="00B211B1" w:rsidRDefault="00B211B1" w:rsidP="00B211B1">
            <w:pPr>
              <w:jc w:val="center"/>
              <w:rPr>
                <w:i/>
                <w:iCs/>
              </w:rPr>
            </w:pPr>
            <w:r w:rsidRPr="00B211B1">
              <w:rPr>
                <w:i/>
                <w:iCs/>
                <w:sz w:val="23"/>
                <w:szCs w:val="23"/>
              </w:rPr>
              <w:t>This assessment tool is geared towards executive staff and fiscal managers who oversee financial management strategy.</w:t>
            </w:r>
          </w:p>
        </w:tc>
      </w:tr>
      <w:tr w:rsidR="00B211B1" w14:paraId="0FED7BDB" w14:textId="77777777" w:rsidTr="00B211B1">
        <w:trPr>
          <w:trHeight w:val="576"/>
        </w:trPr>
        <w:tc>
          <w:tcPr>
            <w:tcW w:w="10885" w:type="dxa"/>
            <w:gridSpan w:val="2"/>
            <w:shd w:val="clear" w:color="auto" w:fill="DAE9F7" w:themeFill="text2" w:themeFillTint="1A"/>
            <w:vAlign w:val="center"/>
          </w:tcPr>
          <w:p w14:paraId="17BB8517" w14:textId="77777777" w:rsidR="00B211B1" w:rsidRPr="007C31BB" w:rsidRDefault="00B211B1" w:rsidP="00B211B1">
            <w:pPr>
              <w:rPr>
                <w:b/>
                <w:bCs/>
              </w:rPr>
            </w:pPr>
            <w:r w:rsidRPr="007C31BB">
              <w:rPr>
                <w:b/>
                <w:bCs/>
              </w:rPr>
              <w:t>I.FINANCIAL PLANNING/BUDGET SYSTEMS</w:t>
            </w:r>
          </w:p>
        </w:tc>
      </w:tr>
      <w:tr w:rsidR="00B211B1" w14:paraId="752EF358" w14:textId="77777777" w:rsidTr="00B211B1">
        <w:trPr>
          <w:trHeight w:val="576"/>
        </w:trPr>
        <w:tc>
          <w:tcPr>
            <w:tcW w:w="9085" w:type="dxa"/>
            <w:vAlign w:val="center"/>
          </w:tcPr>
          <w:p w14:paraId="24B53263" w14:textId="77777777" w:rsidR="00B211B1" w:rsidRPr="00B211B1" w:rsidRDefault="00B211B1" w:rsidP="00B211B1">
            <w:pPr>
              <w:rPr>
                <w:sz w:val="22"/>
                <w:szCs w:val="22"/>
              </w:rPr>
            </w:pPr>
            <w:r w:rsidRPr="00B211B1">
              <w:rPr>
                <w:sz w:val="22"/>
                <w:szCs w:val="22"/>
              </w:rPr>
              <w:t>Organization has a comprehensive annual budget which includes all sources and uses of funds for all aspects of operations.</w:t>
            </w:r>
          </w:p>
        </w:tc>
        <w:sdt>
          <w:sdtPr>
            <w:rPr>
              <w:sz w:val="22"/>
              <w:szCs w:val="22"/>
            </w:rPr>
            <w:id w:val="982282583"/>
            <w:placeholder>
              <w:docPart w:val="37DC482181AC4F9BB1B657C10FD1E022"/>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565AD1C9"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59ADBD23" w14:textId="77777777" w:rsidTr="00B211B1">
        <w:trPr>
          <w:trHeight w:val="576"/>
        </w:trPr>
        <w:tc>
          <w:tcPr>
            <w:tcW w:w="9085" w:type="dxa"/>
            <w:vAlign w:val="center"/>
          </w:tcPr>
          <w:p w14:paraId="253A6351" w14:textId="77777777" w:rsidR="00B211B1" w:rsidRPr="00B211B1" w:rsidRDefault="00B211B1" w:rsidP="00B211B1">
            <w:pPr>
              <w:rPr>
                <w:sz w:val="22"/>
                <w:szCs w:val="22"/>
              </w:rPr>
            </w:pPr>
            <w:r w:rsidRPr="00B211B1">
              <w:rPr>
                <w:sz w:val="22"/>
                <w:szCs w:val="22"/>
              </w:rPr>
              <w:t>All grant or contract budget agreements with funders are incorporated into the comprehensive annual budget.</w:t>
            </w:r>
          </w:p>
        </w:tc>
        <w:sdt>
          <w:sdtPr>
            <w:rPr>
              <w:sz w:val="22"/>
              <w:szCs w:val="22"/>
            </w:rPr>
            <w:id w:val="964776786"/>
            <w:placeholder>
              <w:docPart w:val="F879C4A4B60849BD97858ACC2BFF4C69"/>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4C00E714"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0B4F0546" w14:textId="77777777" w:rsidTr="00B211B1">
        <w:trPr>
          <w:trHeight w:val="576"/>
        </w:trPr>
        <w:tc>
          <w:tcPr>
            <w:tcW w:w="9085" w:type="dxa"/>
            <w:vAlign w:val="center"/>
          </w:tcPr>
          <w:p w14:paraId="793DBD81" w14:textId="77777777" w:rsidR="00B211B1" w:rsidRPr="00B211B1" w:rsidRDefault="00B211B1" w:rsidP="00B211B1">
            <w:pPr>
              <w:rPr>
                <w:sz w:val="22"/>
                <w:szCs w:val="22"/>
              </w:rPr>
            </w:pPr>
            <w:r w:rsidRPr="00B211B1">
              <w:rPr>
                <w:sz w:val="22"/>
                <w:szCs w:val="22"/>
              </w:rPr>
              <w:t>All grant or contract budget proposals are reviewed by fiscal staff before submission to funders.</w:t>
            </w:r>
          </w:p>
        </w:tc>
        <w:sdt>
          <w:sdtPr>
            <w:rPr>
              <w:sz w:val="22"/>
              <w:szCs w:val="22"/>
            </w:rPr>
            <w:id w:val="1233668578"/>
            <w:placeholder>
              <w:docPart w:val="A8B611133CB844998C6AC4D99B57C522"/>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509BFD3E"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4C9E5098" w14:textId="77777777" w:rsidTr="00B211B1">
        <w:trPr>
          <w:trHeight w:val="576"/>
        </w:trPr>
        <w:tc>
          <w:tcPr>
            <w:tcW w:w="9085" w:type="dxa"/>
            <w:vAlign w:val="center"/>
          </w:tcPr>
          <w:p w14:paraId="718A086C" w14:textId="77777777" w:rsidR="00B211B1" w:rsidRPr="00B211B1" w:rsidRDefault="00B211B1" w:rsidP="00B211B1">
            <w:pPr>
              <w:rPr>
                <w:sz w:val="22"/>
                <w:szCs w:val="22"/>
              </w:rPr>
            </w:pPr>
            <w:r w:rsidRPr="00B211B1">
              <w:rPr>
                <w:sz w:val="22"/>
                <w:szCs w:val="22"/>
              </w:rPr>
              <w:t>The fiscal planning process includes continuous assessment of risks and identification of insurance coverage needs and appropriate risk management procedures.</w:t>
            </w:r>
          </w:p>
        </w:tc>
        <w:sdt>
          <w:sdtPr>
            <w:rPr>
              <w:sz w:val="22"/>
              <w:szCs w:val="22"/>
            </w:rPr>
            <w:id w:val="808827192"/>
            <w:placeholder>
              <w:docPart w:val="2AE15D8B22594120900A3772BA5EF4E9"/>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577207B3"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78B3D018" w14:textId="77777777" w:rsidTr="00553831">
        <w:trPr>
          <w:trHeight w:val="576"/>
        </w:trPr>
        <w:tc>
          <w:tcPr>
            <w:tcW w:w="10885" w:type="dxa"/>
            <w:gridSpan w:val="2"/>
            <w:shd w:val="clear" w:color="auto" w:fill="DAE9F7" w:themeFill="text2" w:themeFillTint="1A"/>
            <w:vAlign w:val="center"/>
          </w:tcPr>
          <w:p w14:paraId="7086A6A4" w14:textId="77777777" w:rsidR="00B211B1" w:rsidRDefault="00B211B1" w:rsidP="00B211B1">
            <w:r w:rsidRPr="007C31BB">
              <w:rPr>
                <w:b/>
                <w:bCs/>
              </w:rPr>
              <w:t>II. EXECUTION</w:t>
            </w:r>
          </w:p>
        </w:tc>
      </w:tr>
      <w:tr w:rsidR="00B211B1" w14:paraId="15DC3E6B" w14:textId="77777777" w:rsidTr="00553831">
        <w:trPr>
          <w:trHeight w:val="576"/>
        </w:trPr>
        <w:tc>
          <w:tcPr>
            <w:tcW w:w="9085" w:type="dxa"/>
            <w:vAlign w:val="center"/>
          </w:tcPr>
          <w:p w14:paraId="254325ED" w14:textId="77777777" w:rsidR="00B211B1" w:rsidRPr="00B211B1" w:rsidRDefault="00B211B1" w:rsidP="00B211B1">
            <w:pPr>
              <w:rPr>
                <w:sz w:val="22"/>
                <w:szCs w:val="22"/>
              </w:rPr>
            </w:pPr>
            <w:r w:rsidRPr="00B211B1">
              <w:rPr>
                <w:sz w:val="22"/>
                <w:szCs w:val="22"/>
              </w:rPr>
              <w:t>The organization has written policies and procedures for fiscal operations including procedures for processing payroll, purchases, accounts payable, accounts receivable, etc.</w:t>
            </w:r>
          </w:p>
        </w:tc>
        <w:sdt>
          <w:sdtPr>
            <w:rPr>
              <w:sz w:val="22"/>
              <w:szCs w:val="22"/>
            </w:rPr>
            <w:id w:val="682171575"/>
            <w:placeholder>
              <w:docPart w:val="EDCFBF6142504AE0A2F5305ACAA6465F"/>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1C12BCA8"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21A48A9A" w14:textId="77777777" w:rsidTr="00553831">
        <w:trPr>
          <w:trHeight w:val="576"/>
        </w:trPr>
        <w:tc>
          <w:tcPr>
            <w:tcW w:w="9085" w:type="dxa"/>
            <w:vAlign w:val="center"/>
          </w:tcPr>
          <w:p w14:paraId="3D5349FD" w14:textId="77777777" w:rsidR="00B211B1" w:rsidRPr="00B211B1" w:rsidRDefault="00B211B1" w:rsidP="00B211B1">
            <w:pPr>
              <w:rPr>
                <w:sz w:val="22"/>
                <w:szCs w:val="22"/>
              </w:rPr>
            </w:pPr>
            <w:r w:rsidRPr="00B211B1">
              <w:rPr>
                <w:sz w:val="22"/>
                <w:szCs w:val="22"/>
              </w:rPr>
              <w:t>Written policies and procedures are reviewed and revised regularly.</w:t>
            </w:r>
          </w:p>
        </w:tc>
        <w:sdt>
          <w:sdtPr>
            <w:rPr>
              <w:sz w:val="22"/>
              <w:szCs w:val="22"/>
            </w:rPr>
            <w:id w:val="-549228722"/>
            <w:placeholder>
              <w:docPart w:val="2CF37665BC1A48C0BBAAEBE25FA91404"/>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3F4A54D0"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526665DB" w14:textId="77777777" w:rsidTr="00553831">
        <w:trPr>
          <w:trHeight w:val="576"/>
        </w:trPr>
        <w:tc>
          <w:tcPr>
            <w:tcW w:w="9085" w:type="dxa"/>
            <w:vAlign w:val="center"/>
          </w:tcPr>
          <w:p w14:paraId="40660405" w14:textId="77777777" w:rsidR="00B211B1" w:rsidRPr="00B211B1" w:rsidRDefault="00B211B1" w:rsidP="00B211B1">
            <w:pPr>
              <w:rPr>
                <w:sz w:val="22"/>
                <w:szCs w:val="22"/>
              </w:rPr>
            </w:pPr>
            <w:r w:rsidRPr="00B211B1">
              <w:rPr>
                <w:sz w:val="22"/>
                <w:szCs w:val="22"/>
              </w:rPr>
              <w:t>Actual processing activities are consistent with written policies and procedures.</w:t>
            </w:r>
          </w:p>
        </w:tc>
        <w:sdt>
          <w:sdtPr>
            <w:rPr>
              <w:sz w:val="22"/>
              <w:szCs w:val="22"/>
            </w:rPr>
            <w:id w:val="-1740245369"/>
            <w:placeholder>
              <w:docPart w:val="5A72D920A1A34FE8AFFF4F8D5A9CF218"/>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24B517FF"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4C5725C6" w14:textId="77777777" w:rsidTr="00553831">
        <w:trPr>
          <w:trHeight w:val="1250"/>
        </w:trPr>
        <w:tc>
          <w:tcPr>
            <w:tcW w:w="9085" w:type="dxa"/>
            <w:vAlign w:val="center"/>
          </w:tcPr>
          <w:p w14:paraId="3D5E62B1" w14:textId="77777777" w:rsidR="00B211B1" w:rsidRPr="00B211B1" w:rsidRDefault="00B211B1" w:rsidP="00B211B1">
            <w:pPr>
              <w:rPr>
                <w:sz w:val="22"/>
                <w:szCs w:val="22"/>
              </w:rPr>
            </w:pPr>
            <w:r w:rsidRPr="00B211B1">
              <w:rPr>
                <w:sz w:val="22"/>
                <w:szCs w:val="22"/>
              </w:rPr>
              <w:t>Authorization functions for purchasing, signing checks, adjusting accounts, and extending credit are not performed by individuals who also perform recording functions such as disbursements and/or receipts, maintaining accounts receivable records, or cash handling functions such as receiving and depositing funds or preparing checks.</w:t>
            </w:r>
          </w:p>
        </w:tc>
        <w:sdt>
          <w:sdtPr>
            <w:rPr>
              <w:sz w:val="22"/>
              <w:szCs w:val="22"/>
            </w:rPr>
            <w:id w:val="-1571725547"/>
            <w:placeholder>
              <w:docPart w:val="48707A7706A24554B7CF08CA8656AB43"/>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68FCFBDC"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6E745B93" w14:textId="77777777" w:rsidTr="00553831">
        <w:trPr>
          <w:trHeight w:val="980"/>
        </w:trPr>
        <w:tc>
          <w:tcPr>
            <w:tcW w:w="9085" w:type="dxa"/>
            <w:vAlign w:val="center"/>
          </w:tcPr>
          <w:p w14:paraId="46510AA0" w14:textId="77777777" w:rsidR="00B211B1" w:rsidRPr="00B211B1" w:rsidRDefault="00B211B1" w:rsidP="00B211B1">
            <w:pPr>
              <w:rPr>
                <w:sz w:val="22"/>
                <w:szCs w:val="22"/>
              </w:rPr>
            </w:pPr>
            <w:r w:rsidRPr="00B211B1">
              <w:rPr>
                <w:sz w:val="22"/>
                <w:szCs w:val="22"/>
              </w:rPr>
              <w:t>Review and verification functions such as reconciliation of the bank statement to the record of cash receipts and disbursements are not performed by individuals who also prepare checks, record checks, receive funds and prepare bank deposits, and/or record receipts.</w:t>
            </w:r>
          </w:p>
        </w:tc>
        <w:sdt>
          <w:sdtPr>
            <w:rPr>
              <w:sz w:val="22"/>
              <w:szCs w:val="22"/>
            </w:rPr>
            <w:id w:val="1903863165"/>
            <w:placeholder>
              <w:docPart w:val="951C255BBEFA4ECEA2BBA6017D35E2E5"/>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2E1172F8"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59558FCE" w14:textId="77777777" w:rsidTr="00553831">
        <w:trPr>
          <w:trHeight w:val="576"/>
        </w:trPr>
        <w:tc>
          <w:tcPr>
            <w:tcW w:w="9085" w:type="dxa"/>
            <w:vAlign w:val="center"/>
          </w:tcPr>
          <w:p w14:paraId="2B55F964" w14:textId="2B1B03E5"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Written purchasing policies clearly identify the purchasing authority of each staff position and establish appropriate dollar limits for purchasing authority at each level.</w:t>
            </w:r>
          </w:p>
        </w:tc>
        <w:sdt>
          <w:sdtPr>
            <w:rPr>
              <w:sz w:val="22"/>
              <w:szCs w:val="22"/>
            </w:rPr>
            <w:id w:val="218873159"/>
            <w:placeholder>
              <w:docPart w:val="034FAEDF5E0644A2B6530BDFB3A55C90"/>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1C4D3777"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42905EF2" w14:textId="77777777" w:rsidTr="00553831">
        <w:trPr>
          <w:trHeight w:val="576"/>
        </w:trPr>
        <w:tc>
          <w:tcPr>
            <w:tcW w:w="9085" w:type="dxa"/>
            <w:vAlign w:val="center"/>
          </w:tcPr>
          <w:p w14:paraId="427AC38A"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There are clear procedures for review of and authorization to pay all vendor invoices.</w:t>
            </w:r>
          </w:p>
        </w:tc>
        <w:sdt>
          <w:sdtPr>
            <w:rPr>
              <w:sz w:val="22"/>
              <w:szCs w:val="22"/>
            </w:rPr>
            <w:id w:val="-304467059"/>
            <w:placeholder>
              <w:docPart w:val="EE5BC08F52F54F068754EDE450A71E3E"/>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7AAC644A"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19C62C13" w14:textId="77777777" w:rsidTr="00553831">
        <w:trPr>
          <w:trHeight w:val="710"/>
        </w:trPr>
        <w:tc>
          <w:tcPr>
            <w:tcW w:w="9085" w:type="dxa"/>
            <w:vAlign w:val="center"/>
          </w:tcPr>
          <w:p w14:paraId="379751B1"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Written policies and procedures for charging and collecting fees are followed consistently and reviewed regularly.</w:t>
            </w:r>
          </w:p>
        </w:tc>
        <w:sdt>
          <w:sdtPr>
            <w:rPr>
              <w:sz w:val="22"/>
              <w:szCs w:val="22"/>
            </w:rPr>
            <w:id w:val="906962023"/>
            <w:placeholder>
              <w:docPart w:val="664BA5E56E3B42DEBD2B9EA3D00E67AD"/>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4325BCBB" w14:textId="77777777"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2091C0E6" w14:textId="77777777" w:rsidTr="00553831">
        <w:trPr>
          <w:trHeight w:val="576"/>
        </w:trPr>
        <w:tc>
          <w:tcPr>
            <w:tcW w:w="10885" w:type="dxa"/>
            <w:gridSpan w:val="2"/>
            <w:shd w:val="clear" w:color="auto" w:fill="DAE9F7" w:themeFill="text2" w:themeFillTint="1A"/>
            <w:vAlign w:val="center"/>
          </w:tcPr>
          <w:p w14:paraId="62959C15" w14:textId="77777777" w:rsidR="00B211B1" w:rsidRPr="008D5B26" w:rsidRDefault="00B211B1" w:rsidP="00B211B1">
            <w:pPr>
              <w:rPr>
                <w:b/>
                <w:bCs/>
              </w:rPr>
            </w:pPr>
            <w:r w:rsidRPr="008D5B26">
              <w:rPr>
                <w:b/>
                <w:bCs/>
              </w:rPr>
              <w:t>III. RECORDING</w:t>
            </w:r>
          </w:p>
        </w:tc>
      </w:tr>
      <w:tr w:rsidR="00B211B1" w14:paraId="6A24EEEF" w14:textId="77777777" w:rsidTr="00553831">
        <w:trPr>
          <w:trHeight w:val="665"/>
        </w:trPr>
        <w:tc>
          <w:tcPr>
            <w:tcW w:w="9085" w:type="dxa"/>
            <w:vAlign w:val="center"/>
          </w:tcPr>
          <w:p w14:paraId="12A20748"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A complete written chart of accounts provides appropriate account titles and numbers for Assets, Liabilities, Net Assets, Revenues, and Expenses.</w:t>
            </w:r>
          </w:p>
        </w:tc>
        <w:sdt>
          <w:sdtPr>
            <w:rPr>
              <w:sz w:val="22"/>
              <w:szCs w:val="22"/>
            </w:rPr>
            <w:id w:val="58679956"/>
            <w:placeholder>
              <w:docPart w:val="D3ED77BCB1DF432E8808B871CDA97DD5"/>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6CFE12D2" w14:textId="11498673"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4871C6EC" w14:textId="77777777" w:rsidTr="00553831">
        <w:trPr>
          <w:trHeight w:val="620"/>
        </w:trPr>
        <w:tc>
          <w:tcPr>
            <w:tcW w:w="9085" w:type="dxa"/>
            <w:vAlign w:val="center"/>
          </w:tcPr>
          <w:p w14:paraId="25EF2F5A"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The Chart of Accounts clearly establishes the programs or functions which will be distinguished and the funding sources and/or distinct funds which will be tracked.</w:t>
            </w:r>
          </w:p>
        </w:tc>
        <w:sdt>
          <w:sdtPr>
            <w:rPr>
              <w:sz w:val="22"/>
              <w:szCs w:val="22"/>
            </w:rPr>
            <w:id w:val="1950662803"/>
            <w:placeholder>
              <w:docPart w:val="42CA7473FD8444B8802821A161462259"/>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63F85214" w14:textId="1CCED911"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6391440C" w14:textId="77777777" w:rsidTr="00553831">
        <w:trPr>
          <w:trHeight w:val="989"/>
        </w:trPr>
        <w:tc>
          <w:tcPr>
            <w:tcW w:w="9085" w:type="dxa"/>
            <w:vAlign w:val="center"/>
          </w:tcPr>
          <w:p w14:paraId="4FE916A9"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The Chart of Accounts utilizes the same line-item categories and the same program or function distinctions which are utilized in the comprehensive annual budget and budget for individual contracts or grants.</w:t>
            </w:r>
          </w:p>
        </w:tc>
        <w:sdt>
          <w:sdtPr>
            <w:rPr>
              <w:sz w:val="22"/>
              <w:szCs w:val="22"/>
            </w:rPr>
            <w:id w:val="1164284874"/>
            <w:placeholder>
              <w:docPart w:val="4C5FED326BCA43348EC5280DC1D61812"/>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3C1743D0" w14:textId="0630552C"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2537AFB7" w14:textId="77777777" w:rsidTr="00553831">
        <w:trPr>
          <w:trHeight w:val="576"/>
        </w:trPr>
        <w:tc>
          <w:tcPr>
            <w:tcW w:w="9085" w:type="dxa"/>
            <w:vAlign w:val="center"/>
          </w:tcPr>
          <w:p w14:paraId="56EC771F"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Accounting policies and recording procedures are clearly documented in the written fiscal policies and procedures.</w:t>
            </w:r>
          </w:p>
        </w:tc>
        <w:sdt>
          <w:sdtPr>
            <w:rPr>
              <w:sz w:val="22"/>
              <w:szCs w:val="22"/>
            </w:rPr>
            <w:id w:val="1931079231"/>
            <w:placeholder>
              <w:docPart w:val="7C372AE415E9460B8E4076CF5AE9D88B"/>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48A2B647" w14:textId="27E0AAFC"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5443CC1B" w14:textId="77777777" w:rsidTr="00553831">
        <w:trPr>
          <w:trHeight w:val="620"/>
        </w:trPr>
        <w:tc>
          <w:tcPr>
            <w:tcW w:w="9085" w:type="dxa"/>
            <w:vAlign w:val="center"/>
          </w:tcPr>
          <w:p w14:paraId="645CC4DD"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lastRenderedPageBreak/>
              <w:t>Appropriate electronic and physical security procedures are utilized to protect the integrity of computerized accounting records.</w:t>
            </w:r>
          </w:p>
        </w:tc>
        <w:sdt>
          <w:sdtPr>
            <w:rPr>
              <w:sz w:val="22"/>
              <w:szCs w:val="22"/>
            </w:rPr>
            <w:id w:val="-1290118164"/>
            <w:placeholder>
              <w:docPart w:val="2A94AD7E07704A2982A9145D5230B935"/>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55F933C4" w14:textId="59C7A6F0"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49980476" w14:textId="77777777" w:rsidTr="00553831">
        <w:trPr>
          <w:trHeight w:val="611"/>
        </w:trPr>
        <w:tc>
          <w:tcPr>
            <w:tcW w:w="9085" w:type="dxa"/>
            <w:vAlign w:val="center"/>
          </w:tcPr>
          <w:p w14:paraId="47FA02D9"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Detailed records of client fees and/or grants and contracts receivable are maintained and reconciled to the general ledger receivables balances.</w:t>
            </w:r>
          </w:p>
        </w:tc>
        <w:sdt>
          <w:sdtPr>
            <w:rPr>
              <w:sz w:val="22"/>
              <w:szCs w:val="22"/>
            </w:rPr>
            <w:id w:val="585653221"/>
            <w:placeholder>
              <w:docPart w:val="D793C8369C7642F4ADC7A83D58C9F9E1"/>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5D4C0CE8" w14:textId="57558524"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643D922F" w14:textId="77777777" w:rsidTr="00553831">
        <w:trPr>
          <w:trHeight w:val="719"/>
        </w:trPr>
        <w:tc>
          <w:tcPr>
            <w:tcW w:w="9085" w:type="dxa"/>
            <w:vAlign w:val="center"/>
          </w:tcPr>
          <w:p w14:paraId="67EFF716" w14:textId="77777777"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All general ledger balance sheet accounts are reconciled at least quarterly. All cash, payroll liabilities, and accounts receivable control accounts are reconciled monthly.</w:t>
            </w:r>
          </w:p>
        </w:tc>
        <w:sdt>
          <w:sdtPr>
            <w:rPr>
              <w:sz w:val="22"/>
              <w:szCs w:val="22"/>
            </w:rPr>
            <w:id w:val="-1685665883"/>
            <w:placeholder>
              <w:docPart w:val="2382244AFA514B399229A80D034AF33C"/>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7BE6E71F" w14:textId="2D4D128E"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32BB0E5F" w14:textId="77777777" w:rsidTr="00553831">
        <w:trPr>
          <w:trHeight w:val="576"/>
        </w:trPr>
        <w:tc>
          <w:tcPr>
            <w:tcW w:w="10885" w:type="dxa"/>
            <w:gridSpan w:val="2"/>
            <w:shd w:val="clear" w:color="auto" w:fill="DAE9F7" w:themeFill="text2" w:themeFillTint="1A"/>
            <w:vAlign w:val="center"/>
          </w:tcPr>
          <w:p w14:paraId="01F5188A" w14:textId="1414266D" w:rsidR="00B211B1" w:rsidRDefault="00B211B1" w:rsidP="00B211B1">
            <w:r w:rsidRPr="00B211B1">
              <w:rPr>
                <w:b/>
                <w:bCs/>
              </w:rPr>
              <w:t>IV.REPORTING</w:t>
            </w:r>
          </w:p>
        </w:tc>
      </w:tr>
      <w:tr w:rsidR="00B211B1" w14:paraId="00261589" w14:textId="77777777" w:rsidTr="00B211B1">
        <w:trPr>
          <w:trHeight w:val="576"/>
        </w:trPr>
        <w:tc>
          <w:tcPr>
            <w:tcW w:w="9085" w:type="dxa"/>
          </w:tcPr>
          <w:p w14:paraId="4D231ABF" w14:textId="402830BD"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Monthly financial statements include a Balance Sheet as well as a Statement of Activities and Changes in Net Assets.</w:t>
            </w:r>
          </w:p>
        </w:tc>
        <w:sdt>
          <w:sdtPr>
            <w:rPr>
              <w:sz w:val="22"/>
              <w:szCs w:val="22"/>
            </w:rPr>
            <w:id w:val="1260248486"/>
            <w:placeholder>
              <w:docPart w:val="7BE219BEC3904958AA6710517C7BB7FB"/>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56C5DFC3" w14:textId="43388EB1"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17AD05FB" w14:textId="77777777" w:rsidTr="00B211B1">
        <w:trPr>
          <w:trHeight w:val="576"/>
        </w:trPr>
        <w:tc>
          <w:tcPr>
            <w:tcW w:w="9085" w:type="dxa"/>
          </w:tcPr>
          <w:p w14:paraId="24C9100B" w14:textId="0DA940EF"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In organizations with multiple programs, statements of the expenses of each distinct program are prepared monthly.</w:t>
            </w:r>
          </w:p>
          <w:p w14:paraId="5014C624" w14:textId="45218DE9"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In organizations which receive restricted funds, separate statements of revenue and expenses are prepared for each funding source.</w:t>
            </w:r>
          </w:p>
        </w:tc>
        <w:sdt>
          <w:sdtPr>
            <w:rPr>
              <w:sz w:val="22"/>
              <w:szCs w:val="22"/>
            </w:rPr>
            <w:id w:val="64852121"/>
            <w:placeholder>
              <w:docPart w:val="25CD0E140F3B4AF2A5DCEC5423B57A79"/>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480234B6" w14:textId="505E4F09"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0FA12CDD" w14:textId="77777777" w:rsidTr="00553831">
        <w:trPr>
          <w:trHeight w:val="576"/>
        </w:trPr>
        <w:tc>
          <w:tcPr>
            <w:tcW w:w="10885" w:type="dxa"/>
            <w:gridSpan w:val="2"/>
            <w:shd w:val="clear" w:color="auto" w:fill="DAE9F7" w:themeFill="text2" w:themeFillTint="1A"/>
            <w:vAlign w:val="center"/>
          </w:tcPr>
          <w:p w14:paraId="06D0B44A" w14:textId="52AF0731" w:rsidR="00B211B1" w:rsidRPr="00B211B1" w:rsidRDefault="00B211B1" w:rsidP="00B211B1">
            <w:r w:rsidRPr="00B211B1">
              <w:rPr>
                <w:b/>
                <w:bCs/>
              </w:rPr>
              <w:t>V.MONITORING</w:t>
            </w:r>
          </w:p>
        </w:tc>
      </w:tr>
      <w:tr w:rsidR="00B211B1" w14:paraId="5468BF57" w14:textId="77777777" w:rsidTr="00553831">
        <w:trPr>
          <w:trHeight w:val="656"/>
        </w:trPr>
        <w:tc>
          <w:tcPr>
            <w:tcW w:w="9085" w:type="dxa"/>
            <w:vAlign w:val="center"/>
          </w:tcPr>
          <w:p w14:paraId="3542D3AE" w14:textId="6846D202"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The executive director and the program managers review the monthly financial statements carefully.</w:t>
            </w:r>
          </w:p>
        </w:tc>
        <w:sdt>
          <w:sdtPr>
            <w:rPr>
              <w:sz w:val="22"/>
              <w:szCs w:val="22"/>
            </w:rPr>
            <w:id w:val="-1056011615"/>
            <w:placeholder>
              <w:docPart w:val="3FD0096E94E543B0BCCC9127BD8E80B7"/>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5FBF994B" w14:textId="49FCA7F9"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70684C23" w14:textId="77777777" w:rsidTr="00553831">
        <w:trPr>
          <w:trHeight w:val="1601"/>
        </w:trPr>
        <w:tc>
          <w:tcPr>
            <w:tcW w:w="9085" w:type="dxa"/>
            <w:vAlign w:val="center"/>
          </w:tcPr>
          <w:p w14:paraId="5181586D" w14:textId="71C28DB3"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The board or a board committee selects an independent CPA to conduct an annual auditor review. The board determines whether the organization should have an audit or a review, and whether or not the audit must conducted within the guidelines of OMB A-133, as required for organizations receiving over $300,000 in federal funds or recommended for organizations receiving more than $100,000 each from more than one federal source.</w:t>
            </w:r>
          </w:p>
        </w:tc>
        <w:sdt>
          <w:sdtPr>
            <w:rPr>
              <w:sz w:val="22"/>
              <w:szCs w:val="22"/>
            </w:rPr>
            <w:id w:val="2041163999"/>
            <w:placeholder>
              <w:docPart w:val="FE5D839A7BF74061A63693E463A5BD01"/>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6A2A360C" w14:textId="60137642"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75209E29" w14:textId="77777777" w:rsidTr="00553831">
        <w:trPr>
          <w:trHeight w:val="710"/>
        </w:trPr>
        <w:tc>
          <w:tcPr>
            <w:tcW w:w="9085" w:type="dxa"/>
            <w:vAlign w:val="center"/>
          </w:tcPr>
          <w:p w14:paraId="6C3DDC7D" w14:textId="5960CDC3"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The board or a board committee reviews auditor’s report, including any management letters, and reports on internal controls and compliance with governmental law and regulation.</w:t>
            </w:r>
          </w:p>
        </w:tc>
        <w:sdt>
          <w:sdtPr>
            <w:rPr>
              <w:sz w:val="22"/>
              <w:szCs w:val="22"/>
            </w:rPr>
            <w:id w:val="1179473434"/>
            <w:placeholder>
              <w:docPart w:val="C97F9CE7D45C4607A3FDBD4FC8E2F010"/>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1C409854" w14:textId="3465220D" w:rsidR="00B211B1" w:rsidRPr="00B211B1" w:rsidRDefault="00B211B1" w:rsidP="00B211B1">
                <w:pPr>
                  <w:jc w:val="center"/>
                  <w:rPr>
                    <w:sz w:val="22"/>
                    <w:szCs w:val="22"/>
                  </w:rPr>
                </w:pPr>
                <w:r w:rsidRPr="00B211B1">
                  <w:rPr>
                    <w:rStyle w:val="PlaceholderText"/>
                    <w:sz w:val="22"/>
                    <w:szCs w:val="22"/>
                  </w:rPr>
                  <w:t>Choose an item.</w:t>
                </w:r>
              </w:p>
            </w:tc>
          </w:sdtContent>
        </w:sdt>
      </w:tr>
      <w:tr w:rsidR="00B211B1" w14:paraId="69D3C19E" w14:textId="77777777" w:rsidTr="00553831">
        <w:trPr>
          <w:trHeight w:val="980"/>
        </w:trPr>
        <w:tc>
          <w:tcPr>
            <w:tcW w:w="9085" w:type="dxa"/>
            <w:vAlign w:val="center"/>
          </w:tcPr>
          <w:p w14:paraId="7F608E51" w14:textId="349F2BD1" w:rsidR="00B211B1" w:rsidRPr="00B211B1" w:rsidRDefault="00B211B1" w:rsidP="00B211B1">
            <w:pPr>
              <w:pStyle w:val="Default"/>
              <w:rPr>
                <w:rFonts w:asciiTheme="minorHAnsi" w:hAnsiTheme="minorHAnsi"/>
                <w:sz w:val="22"/>
                <w:szCs w:val="22"/>
              </w:rPr>
            </w:pPr>
            <w:r w:rsidRPr="00B211B1">
              <w:rPr>
                <w:rFonts w:asciiTheme="minorHAnsi" w:hAnsiTheme="minorHAnsi"/>
                <w:sz w:val="22"/>
                <w:szCs w:val="22"/>
              </w:rPr>
              <w:t>The board and executive director are aware of the IRS requirements for maintaining tax exempt status and continually evaluate organization’s activities, use of funds, recordkeeping, and IRS reporting to assure compliance with all requirements.</w:t>
            </w:r>
          </w:p>
        </w:tc>
        <w:sdt>
          <w:sdtPr>
            <w:rPr>
              <w:sz w:val="22"/>
              <w:szCs w:val="22"/>
            </w:rPr>
            <w:id w:val="981582743"/>
            <w:placeholder>
              <w:docPart w:val="7FADC7594499473E8BF8C61204F1FAB7"/>
            </w:placeholder>
            <w:showingPlcHdr/>
            <w:dropDownList>
              <w:listItem w:value="Choose an item."/>
              <w:listItem w:displayText="Don't Know" w:value="Don't Know"/>
              <w:listItem w:displayText="Not Achieved" w:value="Not Achieved"/>
              <w:listItem w:displayText="Partially Achieved" w:value="Partially Achieved"/>
              <w:listItem w:displayText="Fully Achieved" w:value="Fully Achieved"/>
            </w:dropDownList>
          </w:sdtPr>
          <w:sdtContent>
            <w:tc>
              <w:tcPr>
                <w:tcW w:w="1800" w:type="dxa"/>
              </w:tcPr>
              <w:p w14:paraId="3640AA58" w14:textId="6888E090" w:rsidR="00B211B1" w:rsidRPr="00B211B1" w:rsidRDefault="00B211B1" w:rsidP="00B211B1">
                <w:pPr>
                  <w:jc w:val="center"/>
                  <w:rPr>
                    <w:sz w:val="22"/>
                    <w:szCs w:val="22"/>
                  </w:rPr>
                </w:pPr>
                <w:r w:rsidRPr="00B211B1">
                  <w:rPr>
                    <w:rStyle w:val="PlaceholderText"/>
                    <w:sz w:val="22"/>
                    <w:szCs w:val="22"/>
                  </w:rPr>
                  <w:t>Choose an item.</w:t>
                </w:r>
              </w:p>
            </w:tc>
          </w:sdtContent>
        </w:sdt>
      </w:tr>
    </w:tbl>
    <w:tbl>
      <w:tblPr>
        <w:tblStyle w:val="TableGrid"/>
        <w:tblW w:w="0" w:type="auto"/>
        <w:tblLook w:val="04A0" w:firstRow="1" w:lastRow="0" w:firstColumn="1" w:lastColumn="0" w:noHBand="0" w:noVBand="1"/>
      </w:tblPr>
      <w:tblGrid>
        <w:gridCol w:w="10790"/>
      </w:tblGrid>
      <w:tr w:rsidR="00C9595C" w14:paraId="0EA9F0B4" w14:textId="77777777" w:rsidTr="00C9595C">
        <w:tc>
          <w:tcPr>
            <w:tcW w:w="10790" w:type="dxa"/>
          </w:tcPr>
          <w:p w14:paraId="10C7F1CB" w14:textId="77777777" w:rsidR="00C9595C" w:rsidRDefault="00C9595C" w:rsidP="00B211B1">
            <w:pPr>
              <w:pStyle w:val="Default"/>
              <w:rPr>
                <w:b/>
                <w:bCs/>
              </w:rPr>
            </w:pPr>
            <w:r w:rsidRPr="00C9595C">
              <w:rPr>
                <w:b/>
                <w:bCs/>
              </w:rPr>
              <w:t>Briefly explain any “Not Achieved” or “Partially Achieved” responses:</w:t>
            </w:r>
          </w:p>
          <w:p w14:paraId="7845E3C2" w14:textId="77777777" w:rsidR="00C9595C" w:rsidRDefault="00C9595C" w:rsidP="00B211B1">
            <w:pPr>
              <w:pStyle w:val="Default"/>
              <w:rPr>
                <w:b/>
                <w:bCs/>
              </w:rPr>
            </w:pPr>
          </w:p>
          <w:p w14:paraId="195B8EF3" w14:textId="77777777" w:rsidR="00C9595C" w:rsidRDefault="00C9595C" w:rsidP="00B211B1">
            <w:pPr>
              <w:pStyle w:val="Default"/>
              <w:rPr>
                <w:b/>
                <w:bCs/>
              </w:rPr>
            </w:pPr>
          </w:p>
          <w:p w14:paraId="3869ABE6" w14:textId="77777777" w:rsidR="00C9595C" w:rsidRDefault="00C9595C" w:rsidP="00B211B1">
            <w:pPr>
              <w:pStyle w:val="Default"/>
              <w:rPr>
                <w:b/>
                <w:bCs/>
              </w:rPr>
            </w:pPr>
          </w:p>
          <w:p w14:paraId="63F04B37" w14:textId="77777777" w:rsidR="00C9595C" w:rsidRDefault="00C9595C" w:rsidP="00B211B1">
            <w:pPr>
              <w:pStyle w:val="Default"/>
              <w:rPr>
                <w:b/>
                <w:bCs/>
              </w:rPr>
            </w:pPr>
          </w:p>
          <w:p w14:paraId="6B34BAD3" w14:textId="77777777" w:rsidR="00C9595C" w:rsidRDefault="00C9595C" w:rsidP="00B211B1">
            <w:pPr>
              <w:pStyle w:val="Default"/>
              <w:rPr>
                <w:b/>
                <w:bCs/>
              </w:rPr>
            </w:pPr>
          </w:p>
          <w:p w14:paraId="76AC549D" w14:textId="77777777" w:rsidR="00C9595C" w:rsidRDefault="00C9595C" w:rsidP="00B211B1">
            <w:pPr>
              <w:pStyle w:val="Default"/>
              <w:rPr>
                <w:b/>
                <w:bCs/>
              </w:rPr>
            </w:pPr>
          </w:p>
          <w:p w14:paraId="767A97B2" w14:textId="77777777" w:rsidR="00C9595C" w:rsidRDefault="00C9595C" w:rsidP="00B211B1">
            <w:pPr>
              <w:pStyle w:val="Default"/>
              <w:rPr>
                <w:b/>
                <w:bCs/>
              </w:rPr>
            </w:pPr>
          </w:p>
          <w:p w14:paraId="0A995B78" w14:textId="77777777" w:rsidR="00C9595C" w:rsidRDefault="00C9595C" w:rsidP="00B211B1">
            <w:pPr>
              <w:pStyle w:val="Default"/>
              <w:rPr>
                <w:b/>
                <w:bCs/>
              </w:rPr>
            </w:pPr>
          </w:p>
          <w:p w14:paraId="72732DF5" w14:textId="77777777" w:rsidR="00C9595C" w:rsidRDefault="00C9595C" w:rsidP="00B211B1">
            <w:pPr>
              <w:pStyle w:val="Default"/>
              <w:rPr>
                <w:b/>
                <w:bCs/>
              </w:rPr>
            </w:pPr>
          </w:p>
          <w:p w14:paraId="558DEC12" w14:textId="77777777" w:rsidR="00C9595C" w:rsidRDefault="00C9595C" w:rsidP="00B211B1">
            <w:pPr>
              <w:pStyle w:val="Default"/>
              <w:rPr>
                <w:b/>
                <w:bCs/>
              </w:rPr>
            </w:pPr>
          </w:p>
          <w:p w14:paraId="47E58F62" w14:textId="77777777" w:rsidR="00C9595C" w:rsidRDefault="00C9595C" w:rsidP="00B211B1">
            <w:pPr>
              <w:pStyle w:val="Default"/>
              <w:rPr>
                <w:b/>
                <w:bCs/>
              </w:rPr>
            </w:pPr>
          </w:p>
          <w:p w14:paraId="27EEBC1D" w14:textId="77777777" w:rsidR="00C9595C" w:rsidRDefault="00C9595C" w:rsidP="00B211B1">
            <w:pPr>
              <w:pStyle w:val="Default"/>
              <w:rPr>
                <w:b/>
                <w:bCs/>
              </w:rPr>
            </w:pPr>
          </w:p>
          <w:p w14:paraId="5BB3A9AD" w14:textId="77777777" w:rsidR="00C9595C" w:rsidRDefault="00C9595C" w:rsidP="00B211B1">
            <w:pPr>
              <w:pStyle w:val="Default"/>
              <w:rPr>
                <w:b/>
                <w:bCs/>
              </w:rPr>
            </w:pPr>
          </w:p>
          <w:p w14:paraId="77A90BC0" w14:textId="77777777" w:rsidR="00C9595C" w:rsidRDefault="00C9595C" w:rsidP="00B211B1">
            <w:pPr>
              <w:pStyle w:val="Default"/>
              <w:rPr>
                <w:b/>
                <w:bCs/>
              </w:rPr>
            </w:pPr>
          </w:p>
          <w:p w14:paraId="1ED9DFFA" w14:textId="77777777" w:rsidR="00C9595C" w:rsidRDefault="00C9595C" w:rsidP="00B211B1">
            <w:pPr>
              <w:pStyle w:val="Default"/>
              <w:rPr>
                <w:b/>
                <w:bCs/>
              </w:rPr>
            </w:pPr>
          </w:p>
          <w:p w14:paraId="1F54AE28" w14:textId="21932B3F" w:rsidR="00C9595C" w:rsidRPr="00C9595C" w:rsidRDefault="00C9595C" w:rsidP="00B211B1">
            <w:pPr>
              <w:pStyle w:val="Default"/>
              <w:rPr>
                <w:b/>
                <w:bCs/>
              </w:rPr>
            </w:pPr>
          </w:p>
        </w:tc>
      </w:tr>
    </w:tbl>
    <w:p w14:paraId="1FC06365" w14:textId="4647344F" w:rsidR="007C31BB" w:rsidRPr="007C31BB" w:rsidRDefault="007C31BB" w:rsidP="007C31BB">
      <w:pPr>
        <w:pStyle w:val="Default"/>
        <w:jc w:val="center"/>
        <w:rPr>
          <w:sz w:val="36"/>
          <w:szCs w:val="36"/>
        </w:rPr>
      </w:pPr>
    </w:p>
    <w:sectPr w:rsidR="007C31BB" w:rsidRPr="007C31BB" w:rsidSect="008D5B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BB"/>
    <w:rsid w:val="003A6193"/>
    <w:rsid w:val="00524204"/>
    <w:rsid w:val="00553831"/>
    <w:rsid w:val="005E2547"/>
    <w:rsid w:val="00601334"/>
    <w:rsid w:val="00743D69"/>
    <w:rsid w:val="007C31BB"/>
    <w:rsid w:val="008D2EDF"/>
    <w:rsid w:val="008D5B26"/>
    <w:rsid w:val="00B211B1"/>
    <w:rsid w:val="00C9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0FF3"/>
  <w15:chartTrackingRefBased/>
  <w15:docId w15:val="{97743A14-6878-4756-84FD-8B2F864C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1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1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1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1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1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1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1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1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1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1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1BB"/>
    <w:rPr>
      <w:rFonts w:eastAsiaTheme="majorEastAsia" w:cstheme="majorBidi"/>
      <w:color w:val="272727" w:themeColor="text1" w:themeTint="D8"/>
    </w:rPr>
  </w:style>
  <w:style w:type="paragraph" w:styleId="Title">
    <w:name w:val="Title"/>
    <w:basedOn w:val="Normal"/>
    <w:next w:val="Normal"/>
    <w:link w:val="TitleChar"/>
    <w:uiPriority w:val="10"/>
    <w:qFormat/>
    <w:rsid w:val="007C3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1BB"/>
    <w:pPr>
      <w:spacing w:before="160"/>
      <w:jc w:val="center"/>
    </w:pPr>
    <w:rPr>
      <w:i/>
      <w:iCs/>
      <w:color w:val="404040" w:themeColor="text1" w:themeTint="BF"/>
    </w:rPr>
  </w:style>
  <w:style w:type="character" w:customStyle="1" w:styleId="QuoteChar">
    <w:name w:val="Quote Char"/>
    <w:basedOn w:val="DefaultParagraphFont"/>
    <w:link w:val="Quote"/>
    <w:uiPriority w:val="29"/>
    <w:rsid w:val="007C31BB"/>
    <w:rPr>
      <w:i/>
      <w:iCs/>
      <w:color w:val="404040" w:themeColor="text1" w:themeTint="BF"/>
    </w:rPr>
  </w:style>
  <w:style w:type="paragraph" w:styleId="ListParagraph">
    <w:name w:val="List Paragraph"/>
    <w:basedOn w:val="Normal"/>
    <w:uiPriority w:val="34"/>
    <w:qFormat/>
    <w:rsid w:val="007C31BB"/>
    <w:pPr>
      <w:ind w:left="720"/>
      <w:contextualSpacing/>
    </w:pPr>
  </w:style>
  <w:style w:type="character" w:styleId="IntenseEmphasis">
    <w:name w:val="Intense Emphasis"/>
    <w:basedOn w:val="DefaultParagraphFont"/>
    <w:uiPriority w:val="21"/>
    <w:qFormat/>
    <w:rsid w:val="007C31BB"/>
    <w:rPr>
      <w:i/>
      <w:iCs/>
      <w:color w:val="0F4761" w:themeColor="accent1" w:themeShade="BF"/>
    </w:rPr>
  </w:style>
  <w:style w:type="paragraph" w:styleId="IntenseQuote">
    <w:name w:val="Intense Quote"/>
    <w:basedOn w:val="Normal"/>
    <w:next w:val="Normal"/>
    <w:link w:val="IntenseQuoteChar"/>
    <w:uiPriority w:val="30"/>
    <w:qFormat/>
    <w:rsid w:val="007C3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1BB"/>
    <w:rPr>
      <w:i/>
      <w:iCs/>
      <w:color w:val="0F4761" w:themeColor="accent1" w:themeShade="BF"/>
    </w:rPr>
  </w:style>
  <w:style w:type="character" w:styleId="IntenseReference">
    <w:name w:val="Intense Reference"/>
    <w:basedOn w:val="DefaultParagraphFont"/>
    <w:uiPriority w:val="32"/>
    <w:qFormat/>
    <w:rsid w:val="007C31BB"/>
    <w:rPr>
      <w:b/>
      <w:bCs/>
      <w:smallCaps/>
      <w:color w:val="0F4761" w:themeColor="accent1" w:themeShade="BF"/>
      <w:spacing w:val="5"/>
    </w:rPr>
  </w:style>
  <w:style w:type="table" w:styleId="TableGrid">
    <w:name w:val="Table Grid"/>
    <w:basedOn w:val="TableNormal"/>
    <w:uiPriority w:val="39"/>
    <w:rsid w:val="007C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1BB"/>
    <w:pPr>
      <w:autoSpaceDE w:val="0"/>
      <w:autoSpaceDN w:val="0"/>
      <w:adjustRightInd w:val="0"/>
      <w:spacing w:after="0" w:line="240" w:lineRule="auto"/>
    </w:pPr>
    <w:rPr>
      <w:rFonts w:ascii="Corbel" w:hAnsi="Corbel" w:cs="Corbel"/>
      <w:color w:val="000000"/>
      <w:kern w:val="0"/>
    </w:rPr>
  </w:style>
  <w:style w:type="character" w:styleId="PlaceholderText">
    <w:name w:val="Placeholder Text"/>
    <w:basedOn w:val="DefaultParagraphFont"/>
    <w:uiPriority w:val="99"/>
    <w:semiHidden/>
    <w:rsid w:val="005242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DC482181AC4F9BB1B657C10FD1E022"/>
        <w:category>
          <w:name w:val="General"/>
          <w:gallery w:val="placeholder"/>
        </w:category>
        <w:types>
          <w:type w:val="bbPlcHdr"/>
        </w:types>
        <w:behaviors>
          <w:behavior w:val="content"/>
        </w:behaviors>
        <w:guid w:val="{693F796F-2A42-4E78-BDD2-197EFFE3276A}"/>
      </w:docPartPr>
      <w:docPartBody>
        <w:p w:rsidR="00F5478E" w:rsidRDefault="00166CCA" w:rsidP="00166CCA">
          <w:pPr>
            <w:pStyle w:val="37DC482181AC4F9BB1B657C10FD1E022"/>
          </w:pPr>
          <w:r w:rsidRPr="00B31AE3">
            <w:rPr>
              <w:rStyle w:val="PlaceholderText"/>
            </w:rPr>
            <w:t>Choose an item.</w:t>
          </w:r>
        </w:p>
      </w:docPartBody>
    </w:docPart>
    <w:docPart>
      <w:docPartPr>
        <w:name w:val="F879C4A4B60849BD97858ACC2BFF4C69"/>
        <w:category>
          <w:name w:val="General"/>
          <w:gallery w:val="placeholder"/>
        </w:category>
        <w:types>
          <w:type w:val="bbPlcHdr"/>
        </w:types>
        <w:behaviors>
          <w:behavior w:val="content"/>
        </w:behaviors>
        <w:guid w:val="{747164F3-A277-4A49-8D66-7285FCA5D12C}"/>
      </w:docPartPr>
      <w:docPartBody>
        <w:p w:rsidR="00F5478E" w:rsidRDefault="00166CCA" w:rsidP="00166CCA">
          <w:pPr>
            <w:pStyle w:val="F879C4A4B60849BD97858ACC2BFF4C69"/>
          </w:pPr>
          <w:r w:rsidRPr="00B31AE3">
            <w:rPr>
              <w:rStyle w:val="PlaceholderText"/>
            </w:rPr>
            <w:t>Choose an item.</w:t>
          </w:r>
        </w:p>
      </w:docPartBody>
    </w:docPart>
    <w:docPart>
      <w:docPartPr>
        <w:name w:val="A8B611133CB844998C6AC4D99B57C522"/>
        <w:category>
          <w:name w:val="General"/>
          <w:gallery w:val="placeholder"/>
        </w:category>
        <w:types>
          <w:type w:val="bbPlcHdr"/>
        </w:types>
        <w:behaviors>
          <w:behavior w:val="content"/>
        </w:behaviors>
        <w:guid w:val="{058ED585-D4DB-450D-A828-9B335E2508B5}"/>
      </w:docPartPr>
      <w:docPartBody>
        <w:p w:rsidR="00F5478E" w:rsidRDefault="00166CCA" w:rsidP="00166CCA">
          <w:pPr>
            <w:pStyle w:val="A8B611133CB844998C6AC4D99B57C522"/>
          </w:pPr>
          <w:r w:rsidRPr="00B31AE3">
            <w:rPr>
              <w:rStyle w:val="PlaceholderText"/>
            </w:rPr>
            <w:t>Choose an item.</w:t>
          </w:r>
        </w:p>
      </w:docPartBody>
    </w:docPart>
    <w:docPart>
      <w:docPartPr>
        <w:name w:val="2AE15D8B22594120900A3772BA5EF4E9"/>
        <w:category>
          <w:name w:val="General"/>
          <w:gallery w:val="placeholder"/>
        </w:category>
        <w:types>
          <w:type w:val="bbPlcHdr"/>
        </w:types>
        <w:behaviors>
          <w:behavior w:val="content"/>
        </w:behaviors>
        <w:guid w:val="{339FC02A-09B1-4B6C-9C42-A69BD6244FFC}"/>
      </w:docPartPr>
      <w:docPartBody>
        <w:p w:rsidR="00F5478E" w:rsidRDefault="00166CCA" w:rsidP="00166CCA">
          <w:pPr>
            <w:pStyle w:val="2AE15D8B22594120900A3772BA5EF4E9"/>
          </w:pPr>
          <w:r w:rsidRPr="00B31AE3">
            <w:rPr>
              <w:rStyle w:val="PlaceholderText"/>
            </w:rPr>
            <w:t>Choose an item.</w:t>
          </w:r>
        </w:p>
      </w:docPartBody>
    </w:docPart>
    <w:docPart>
      <w:docPartPr>
        <w:name w:val="EDCFBF6142504AE0A2F5305ACAA6465F"/>
        <w:category>
          <w:name w:val="General"/>
          <w:gallery w:val="placeholder"/>
        </w:category>
        <w:types>
          <w:type w:val="bbPlcHdr"/>
        </w:types>
        <w:behaviors>
          <w:behavior w:val="content"/>
        </w:behaviors>
        <w:guid w:val="{0B9A665A-ED6C-44F4-9484-7011F4CB433B}"/>
      </w:docPartPr>
      <w:docPartBody>
        <w:p w:rsidR="00F5478E" w:rsidRDefault="00166CCA" w:rsidP="00166CCA">
          <w:pPr>
            <w:pStyle w:val="EDCFBF6142504AE0A2F5305ACAA6465F"/>
          </w:pPr>
          <w:r w:rsidRPr="00B31AE3">
            <w:rPr>
              <w:rStyle w:val="PlaceholderText"/>
            </w:rPr>
            <w:t>Choose an item.</w:t>
          </w:r>
        </w:p>
      </w:docPartBody>
    </w:docPart>
    <w:docPart>
      <w:docPartPr>
        <w:name w:val="2CF37665BC1A48C0BBAAEBE25FA91404"/>
        <w:category>
          <w:name w:val="General"/>
          <w:gallery w:val="placeholder"/>
        </w:category>
        <w:types>
          <w:type w:val="bbPlcHdr"/>
        </w:types>
        <w:behaviors>
          <w:behavior w:val="content"/>
        </w:behaviors>
        <w:guid w:val="{85D7048D-1305-46A1-AC9D-E6A36CF79F10}"/>
      </w:docPartPr>
      <w:docPartBody>
        <w:p w:rsidR="00F5478E" w:rsidRDefault="00166CCA" w:rsidP="00166CCA">
          <w:pPr>
            <w:pStyle w:val="2CF37665BC1A48C0BBAAEBE25FA91404"/>
          </w:pPr>
          <w:r w:rsidRPr="00B31AE3">
            <w:rPr>
              <w:rStyle w:val="PlaceholderText"/>
            </w:rPr>
            <w:t>Choose an item.</w:t>
          </w:r>
        </w:p>
      </w:docPartBody>
    </w:docPart>
    <w:docPart>
      <w:docPartPr>
        <w:name w:val="5A72D920A1A34FE8AFFF4F8D5A9CF218"/>
        <w:category>
          <w:name w:val="General"/>
          <w:gallery w:val="placeholder"/>
        </w:category>
        <w:types>
          <w:type w:val="bbPlcHdr"/>
        </w:types>
        <w:behaviors>
          <w:behavior w:val="content"/>
        </w:behaviors>
        <w:guid w:val="{96B4835B-CAA1-4D78-B115-0768F2EAE781}"/>
      </w:docPartPr>
      <w:docPartBody>
        <w:p w:rsidR="00F5478E" w:rsidRDefault="00166CCA" w:rsidP="00166CCA">
          <w:pPr>
            <w:pStyle w:val="5A72D920A1A34FE8AFFF4F8D5A9CF218"/>
          </w:pPr>
          <w:r w:rsidRPr="00B31AE3">
            <w:rPr>
              <w:rStyle w:val="PlaceholderText"/>
            </w:rPr>
            <w:t>Choose an item.</w:t>
          </w:r>
        </w:p>
      </w:docPartBody>
    </w:docPart>
    <w:docPart>
      <w:docPartPr>
        <w:name w:val="48707A7706A24554B7CF08CA8656AB43"/>
        <w:category>
          <w:name w:val="General"/>
          <w:gallery w:val="placeholder"/>
        </w:category>
        <w:types>
          <w:type w:val="bbPlcHdr"/>
        </w:types>
        <w:behaviors>
          <w:behavior w:val="content"/>
        </w:behaviors>
        <w:guid w:val="{9C62C6E9-FF8C-4590-81F4-99E81E513A5C}"/>
      </w:docPartPr>
      <w:docPartBody>
        <w:p w:rsidR="00F5478E" w:rsidRDefault="00166CCA" w:rsidP="00166CCA">
          <w:pPr>
            <w:pStyle w:val="48707A7706A24554B7CF08CA8656AB43"/>
          </w:pPr>
          <w:r w:rsidRPr="00B31AE3">
            <w:rPr>
              <w:rStyle w:val="PlaceholderText"/>
            </w:rPr>
            <w:t>Choose an item.</w:t>
          </w:r>
        </w:p>
      </w:docPartBody>
    </w:docPart>
    <w:docPart>
      <w:docPartPr>
        <w:name w:val="951C255BBEFA4ECEA2BBA6017D35E2E5"/>
        <w:category>
          <w:name w:val="General"/>
          <w:gallery w:val="placeholder"/>
        </w:category>
        <w:types>
          <w:type w:val="bbPlcHdr"/>
        </w:types>
        <w:behaviors>
          <w:behavior w:val="content"/>
        </w:behaviors>
        <w:guid w:val="{5AC50974-B221-4248-91ED-58A41057B3AC}"/>
      </w:docPartPr>
      <w:docPartBody>
        <w:p w:rsidR="00F5478E" w:rsidRDefault="00166CCA" w:rsidP="00166CCA">
          <w:pPr>
            <w:pStyle w:val="951C255BBEFA4ECEA2BBA6017D35E2E5"/>
          </w:pPr>
          <w:r w:rsidRPr="00B31AE3">
            <w:rPr>
              <w:rStyle w:val="PlaceholderText"/>
            </w:rPr>
            <w:t>Choose an item.</w:t>
          </w:r>
        </w:p>
      </w:docPartBody>
    </w:docPart>
    <w:docPart>
      <w:docPartPr>
        <w:name w:val="034FAEDF5E0644A2B6530BDFB3A55C90"/>
        <w:category>
          <w:name w:val="General"/>
          <w:gallery w:val="placeholder"/>
        </w:category>
        <w:types>
          <w:type w:val="bbPlcHdr"/>
        </w:types>
        <w:behaviors>
          <w:behavior w:val="content"/>
        </w:behaviors>
        <w:guid w:val="{88F5A798-C1A4-4B5A-A694-1D91D615B063}"/>
      </w:docPartPr>
      <w:docPartBody>
        <w:p w:rsidR="00F5478E" w:rsidRDefault="00166CCA" w:rsidP="00166CCA">
          <w:pPr>
            <w:pStyle w:val="034FAEDF5E0644A2B6530BDFB3A55C90"/>
          </w:pPr>
          <w:r w:rsidRPr="00B31AE3">
            <w:rPr>
              <w:rStyle w:val="PlaceholderText"/>
            </w:rPr>
            <w:t>Choose an item.</w:t>
          </w:r>
        </w:p>
      </w:docPartBody>
    </w:docPart>
    <w:docPart>
      <w:docPartPr>
        <w:name w:val="EE5BC08F52F54F068754EDE450A71E3E"/>
        <w:category>
          <w:name w:val="General"/>
          <w:gallery w:val="placeholder"/>
        </w:category>
        <w:types>
          <w:type w:val="bbPlcHdr"/>
        </w:types>
        <w:behaviors>
          <w:behavior w:val="content"/>
        </w:behaviors>
        <w:guid w:val="{F42BA3E3-FC49-4D74-8098-5E3F3731AB7B}"/>
      </w:docPartPr>
      <w:docPartBody>
        <w:p w:rsidR="00F5478E" w:rsidRDefault="00166CCA" w:rsidP="00166CCA">
          <w:pPr>
            <w:pStyle w:val="EE5BC08F52F54F068754EDE450A71E3E"/>
          </w:pPr>
          <w:r w:rsidRPr="00B31AE3">
            <w:rPr>
              <w:rStyle w:val="PlaceholderText"/>
            </w:rPr>
            <w:t>Choose an item.</w:t>
          </w:r>
        </w:p>
      </w:docPartBody>
    </w:docPart>
    <w:docPart>
      <w:docPartPr>
        <w:name w:val="664BA5E56E3B42DEBD2B9EA3D00E67AD"/>
        <w:category>
          <w:name w:val="General"/>
          <w:gallery w:val="placeholder"/>
        </w:category>
        <w:types>
          <w:type w:val="bbPlcHdr"/>
        </w:types>
        <w:behaviors>
          <w:behavior w:val="content"/>
        </w:behaviors>
        <w:guid w:val="{D6BDAD50-6D42-4919-918F-8B3B7A5208A7}"/>
      </w:docPartPr>
      <w:docPartBody>
        <w:p w:rsidR="00F5478E" w:rsidRDefault="00166CCA" w:rsidP="00166CCA">
          <w:pPr>
            <w:pStyle w:val="664BA5E56E3B42DEBD2B9EA3D00E67AD"/>
          </w:pPr>
          <w:r w:rsidRPr="00B31AE3">
            <w:rPr>
              <w:rStyle w:val="PlaceholderText"/>
            </w:rPr>
            <w:t>Choose an item.</w:t>
          </w:r>
        </w:p>
      </w:docPartBody>
    </w:docPart>
    <w:docPart>
      <w:docPartPr>
        <w:name w:val="D3ED77BCB1DF432E8808B871CDA97DD5"/>
        <w:category>
          <w:name w:val="General"/>
          <w:gallery w:val="placeholder"/>
        </w:category>
        <w:types>
          <w:type w:val="bbPlcHdr"/>
        </w:types>
        <w:behaviors>
          <w:behavior w:val="content"/>
        </w:behaviors>
        <w:guid w:val="{419067CC-5845-4211-98C3-AA8D8DF625B4}"/>
      </w:docPartPr>
      <w:docPartBody>
        <w:p w:rsidR="00F5478E" w:rsidRDefault="00166CCA" w:rsidP="00166CCA">
          <w:pPr>
            <w:pStyle w:val="D3ED77BCB1DF432E8808B871CDA97DD5"/>
          </w:pPr>
          <w:r w:rsidRPr="00B31AE3">
            <w:rPr>
              <w:rStyle w:val="PlaceholderText"/>
            </w:rPr>
            <w:t>Choose an item.</w:t>
          </w:r>
        </w:p>
      </w:docPartBody>
    </w:docPart>
    <w:docPart>
      <w:docPartPr>
        <w:name w:val="42CA7473FD8444B8802821A161462259"/>
        <w:category>
          <w:name w:val="General"/>
          <w:gallery w:val="placeholder"/>
        </w:category>
        <w:types>
          <w:type w:val="bbPlcHdr"/>
        </w:types>
        <w:behaviors>
          <w:behavior w:val="content"/>
        </w:behaviors>
        <w:guid w:val="{A2249415-98B5-4E79-8DE6-E34E49F08FAF}"/>
      </w:docPartPr>
      <w:docPartBody>
        <w:p w:rsidR="00F5478E" w:rsidRDefault="00166CCA" w:rsidP="00166CCA">
          <w:pPr>
            <w:pStyle w:val="42CA7473FD8444B8802821A161462259"/>
          </w:pPr>
          <w:r w:rsidRPr="00B31AE3">
            <w:rPr>
              <w:rStyle w:val="PlaceholderText"/>
            </w:rPr>
            <w:t>Choose an item.</w:t>
          </w:r>
        </w:p>
      </w:docPartBody>
    </w:docPart>
    <w:docPart>
      <w:docPartPr>
        <w:name w:val="4C5FED326BCA43348EC5280DC1D61812"/>
        <w:category>
          <w:name w:val="General"/>
          <w:gallery w:val="placeholder"/>
        </w:category>
        <w:types>
          <w:type w:val="bbPlcHdr"/>
        </w:types>
        <w:behaviors>
          <w:behavior w:val="content"/>
        </w:behaviors>
        <w:guid w:val="{AFA3D85E-028A-4848-806E-B7641DA2669D}"/>
      </w:docPartPr>
      <w:docPartBody>
        <w:p w:rsidR="00F5478E" w:rsidRDefault="00166CCA" w:rsidP="00166CCA">
          <w:pPr>
            <w:pStyle w:val="4C5FED326BCA43348EC5280DC1D61812"/>
          </w:pPr>
          <w:r w:rsidRPr="00B31AE3">
            <w:rPr>
              <w:rStyle w:val="PlaceholderText"/>
            </w:rPr>
            <w:t>Choose an item.</w:t>
          </w:r>
        </w:p>
      </w:docPartBody>
    </w:docPart>
    <w:docPart>
      <w:docPartPr>
        <w:name w:val="7C372AE415E9460B8E4076CF5AE9D88B"/>
        <w:category>
          <w:name w:val="General"/>
          <w:gallery w:val="placeholder"/>
        </w:category>
        <w:types>
          <w:type w:val="bbPlcHdr"/>
        </w:types>
        <w:behaviors>
          <w:behavior w:val="content"/>
        </w:behaviors>
        <w:guid w:val="{6AD3957C-E85B-4AC4-BF87-E651F3131504}"/>
      </w:docPartPr>
      <w:docPartBody>
        <w:p w:rsidR="00F5478E" w:rsidRDefault="00166CCA" w:rsidP="00166CCA">
          <w:pPr>
            <w:pStyle w:val="7C372AE415E9460B8E4076CF5AE9D88B"/>
          </w:pPr>
          <w:r w:rsidRPr="00B31AE3">
            <w:rPr>
              <w:rStyle w:val="PlaceholderText"/>
            </w:rPr>
            <w:t>Choose an item.</w:t>
          </w:r>
        </w:p>
      </w:docPartBody>
    </w:docPart>
    <w:docPart>
      <w:docPartPr>
        <w:name w:val="2A94AD7E07704A2982A9145D5230B935"/>
        <w:category>
          <w:name w:val="General"/>
          <w:gallery w:val="placeholder"/>
        </w:category>
        <w:types>
          <w:type w:val="bbPlcHdr"/>
        </w:types>
        <w:behaviors>
          <w:behavior w:val="content"/>
        </w:behaviors>
        <w:guid w:val="{21CD5FFD-6213-49E9-A977-2B99D2C62803}"/>
      </w:docPartPr>
      <w:docPartBody>
        <w:p w:rsidR="00F5478E" w:rsidRDefault="00166CCA" w:rsidP="00166CCA">
          <w:pPr>
            <w:pStyle w:val="2A94AD7E07704A2982A9145D5230B935"/>
          </w:pPr>
          <w:r w:rsidRPr="00B31AE3">
            <w:rPr>
              <w:rStyle w:val="PlaceholderText"/>
            </w:rPr>
            <w:t>Choose an item.</w:t>
          </w:r>
        </w:p>
      </w:docPartBody>
    </w:docPart>
    <w:docPart>
      <w:docPartPr>
        <w:name w:val="D793C8369C7642F4ADC7A83D58C9F9E1"/>
        <w:category>
          <w:name w:val="General"/>
          <w:gallery w:val="placeholder"/>
        </w:category>
        <w:types>
          <w:type w:val="bbPlcHdr"/>
        </w:types>
        <w:behaviors>
          <w:behavior w:val="content"/>
        </w:behaviors>
        <w:guid w:val="{B30CBA3D-CA5C-4381-BBE5-AE20D5CE6E05}"/>
      </w:docPartPr>
      <w:docPartBody>
        <w:p w:rsidR="00F5478E" w:rsidRDefault="00166CCA" w:rsidP="00166CCA">
          <w:pPr>
            <w:pStyle w:val="D793C8369C7642F4ADC7A83D58C9F9E1"/>
          </w:pPr>
          <w:r w:rsidRPr="00B31AE3">
            <w:rPr>
              <w:rStyle w:val="PlaceholderText"/>
            </w:rPr>
            <w:t>Choose an item.</w:t>
          </w:r>
        </w:p>
      </w:docPartBody>
    </w:docPart>
    <w:docPart>
      <w:docPartPr>
        <w:name w:val="2382244AFA514B399229A80D034AF33C"/>
        <w:category>
          <w:name w:val="General"/>
          <w:gallery w:val="placeholder"/>
        </w:category>
        <w:types>
          <w:type w:val="bbPlcHdr"/>
        </w:types>
        <w:behaviors>
          <w:behavior w:val="content"/>
        </w:behaviors>
        <w:guid w:val="{0E665965-F31E-442C-99AC-3FAD0AEFC1BD}"/>
      </w:docPartPr>
      <w:docPartBody>
        <w:p w:rsidR="00F5478E" w:rsidRDefault="00166CCA" w:rsidP="00166CCA">
          <w:pPr>
            <w:pStyle w:val="2382244AFA514B399229A80D034AF33C"/>
          </w:pPr>
          <w:r w:rsidRPr="00B31AE3">
            <w:rPr>
              <w:rStyle w:val="PlaceholderText"/>
            </w:rPr>
            <w:t>Choose an item.</w:t>
          </w:r>
        </w:p>
      </w:docPartBody>
    </w:docPart>
    <w:docPart>
      <w:docPartPr>
        <w:name w:val="7BE219BEC3904958AA6710517C7BB7FB"/>
        <w:category>
          <w:name w:val="General"/>
          <w:gallery w:val="placeholder"/>
        </w:category>
        <w:types>
          <w:type w:val="bbPlcHdr"/>
        </w:types>
        <w:behaviors>
          <w:behavior w:val="content"/>
        </w:behaviors>
        <w:guid w:val="{B602D42E-E3EE-424D-87FE-5CAAD02CDF3D}"/>
      </w:docPartPr>
      <w:docPartBody>
        <w:p w:rsidR="00F5478E" w:rsidRDefault="00166CCA" w:rsidP="00166CCA">
          <w:pPr>
            <w:pStyle w:val="7BE219BEC3904958AA6710517C7BB7FB"/>
          </w:pPr>
          <w:r w:rsidRPr="00B31AE3">
            <w:rPr>
              <w:rStyle w:val="PlaceholderText"/>
            </w:rPr>
            <w:t>Choose an item.</w:t>
          </w:r>
        </w:p>
      </w:docPartBody>
    </w:docPart>
    <w:docPart>
      <w:docPartPr>
        <w:name w:val="25CD0E140F3B4AF2A5DCEC5423B57A79"/>
        <w:category>
          <w:name w:val="General"/>
          <w:gallery w:val="placeholder"/>
        </w:category>
        <w:types>
          <w:type w:val="bbPlcHdr"/>
        </w:types>
        <w:behaviors>
          <w:behavior w:val="content"/>
        </w:behaviors>
        <w:guid w:val="{AF05BA95-25C5-4901-BB65-C4C85C3161B0}"/>
      </w:docPartPr>
      <w:docPartBody>
        <w:p w:rsidR="00F5478E" w:rsidRDefault="00166CCA" w:rsidP="00166CCA">
          <w:pPr>
            <w:pStyle w:val="25CD0E140F3B4AF2A5DCEC5423B57A79"/>
          </w:pPr>
          <w:r w:rsidRPr="00B31AE3">
            <w:rPr>
              <w:rStyle w:val="PlaceholderText"/>
            </w:rPr>
            <w:t>Choose an item.</w:t>
          </w:r>
        </w:p>
      </w:docPartBody>
    </w:docPart>
    <w:docPart>
      <w:docPartPr>
        <w:name w:val="3FD0096E94E543B0BCCC9127BD8E80B7"/>
        <w:category>
          <w:name w:val="General"/>
          <w:gallery w:val="placeholder"/>
        </w:category>
        <w:types>
          <w:type w:val="bbPlcHdr"/>
        </w:types>
        <w:behaviors>
          <w:behavior w:val="content"/>
        </w:behaviors>
        <w:guid w:val="{F7E5EE15-4F68-419D-8D33-EE2A931618D5}"/>
      </w:docPartPr>
      <w:docPartBody>
        <w:p w:rsidR="00F5478E" w:rsidRDefault="00166CCA" w:rsidP="00166CCA">
          <w:pPr>
            <w:pStyle w:val="3FD0096E94E543B0BCCC9127BD8E80B7"/>
          </w:pPr>
          <w:r w:rsidRPr="00B31AE3">
            <w:rPr>
              <w:rStyle w:val="PlaceholderText"/>
            </w:rPr>
            <w:t>Choose an item.</w:t>
          </w:r>
        </w:p>
      </w:docPartBody>
    </w:docPart>
    <w:docPart>
      <w:docPartPr>
        <w:name w:val="FE5D839A7BF74061A63693E463A5BD01"/>
        <w:category>
          <w:name w:val="General"/>
          <w:gallery w:val="placeholder"/>
        </w:category>
        <w:types>
          <w:type w:val="bbPlcHdr"/>
        </w:types>
        <w:behaviors>
          <w:behavior w:val="content"/>
        </w:behaviors>
        <w:guid w:val="{A3234F52-715D-40E4-B405-7FA575C42E69}"/>
      </w:docPartPr>
      <w:docPartBody>
        <w:p w:rsidR="00F5478E" w:rsidRDefault="00166CCA" w:rsidP="00166CCA">
          <w:pPr>
            <w:pStyle w:val="FE5D839A7BF74061A63693E463A5BD01"/>
          </w:pPr>
          <w:r w:rsidRPr="00B31AE3">
            <w:rPr>
              <w:rStyle w:val="PlaceholderText"/>
            </w:rPr>
            <w:t>Choose an item.</w:t>
          </w:r>
        </w:p>
      </w:docPartBody>
    </w:docPart>
    <w:docPart>
      <w:docPartPr>
        <w:name w:val="C97F9CE7D45C4607A3FDBD4FC8E2F010"/>
        <w:category>
          <w:name w:val="General"/>
          <w:gallery w:val="placeholder"/>
        </w:category>
        <w:types>
          <w:type w:val="bbPlcHdr"/>
        </w:types>
        <w:behaviors>
          <w:behavior w:val="content"/>
        </w:behaviors>
        <w:guid w:val="{F9B8E2D3-0BAB-46D2-8987-555677247EEB}"/>
      </w:docPartPr>
      <w:docPartBody>
        <w:p w:rsidR="00F5478E" w:rsidRDefault="00166CCA" w:rsidP="00166CCA">
          <w:pPr>
            <w:pStyle w:val="C97F9CE7D45C4607A3FDBD4FC8E2F010"/>
          </w:pPr>
          <w:r w:rsidRPr="00B31AE3">
            <w:rPr>
              <w:rStyle w:val="PlaceholderText"/>
            </w:rPr>
            <w:t>Choose an item.</w:t>
          </w:r>
        </w:p>
      </w:docPartBody>
    </w:docPart>
    <w:docPart>
      <w:docPartPr>
        <w:name w:val="7FADC7594499473E8BF8C61204F1FAB7"/>
        <w:category>
          <w:name w:val="General"/>
          <w:gallery w:val="placeholder"/>
        </w:category>
        <w:types>
          <w:type w:val="bbPlcHdr"/>
        </w:types>
        <w:behaviors>
          <w:behavior w:val="content"/>
        </w:behaviors>
        <w:guid w:val="{F999057C-C057-433C-9E10-BC97748A5EB2}"/>
      </w:docPartPr>
      <w:docPartBody>
        <w:p w:rsidR="00F5478E" w:rsidRDefault="00166CCA" w:rsidP="00166CCA">
          <w:pPr>
            <w:pStyle w:val="7FADC7594499473E8BF8C61204F1FAB7"/>
          </w:pPr>
          <w:r w:rsidRPr="00B31A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CA"/>
    <w:rsid w:val="00166CCA"/>
    <w:rsid w:val="003A6193"/>
    <w:rsid w:val="003C35EC"/>
    <w:rsid w:val="005C35AF"/>
    <w:rsid w:val="005E2547"/>
    <w:rsid w:val="00F54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CCA"/>
    <w:rPr>
      <w:color w:val="666666"/>
    </w:rPr>
  </w:style>
  <w:style w:type="paragraph" w:customStyle="1" w:styleId="37DC482181AC4F9BB1B657C10FD1E022">
    <w:name w:val="37DC482181AC4F9BB1B657C10FD1E022"/>
    <w:rsid w:val="00166CCA"/>
  </w:style>
  <w:style w:type="paragraph" w:customStyle="1" w:styleId="F879C4A4B60849BD97858ACC2BFF4C69">
    <w:name w:val="F879C4A4B60849BD97858ACC2BFF4C69"/>
    <w:rsid w:val="00166CCA"/>
  </w:style>
  <w:style w:type="paragraph" w:customStyle="1" w:styleId="A8B611133CB844998C6AC4D99B57C522">
    <w:name w:val="A8B611133CB844998C6AC4D99B57C522"/>
    <w:rsid w:val="00166CCA"/>
  </w:style>
  <w:style w:type="paragraph" w:customStyle="1" w:styleId="2AE15D8B22594120900A3772BA5EF4E9">
    <w:name w:val="2AE15D8B22594120900A3772BA5EF4E9"/>
    <w:rsid w:val="00166CCA"/>
  </w:style>
  <w:style w:type="paragraph" w:customStyle="1" w:styleId="EDCFBF6142504AE0A2F5305ACAA6465F">
    <w:name w:val="EDCFBF6142504AE0A2F5305ACAA6465F"/>
    <w:rsid w:val="00166CCA"/>
  </w:style>
  <w:style w:type="paragraph" w:customStyle="1" w:styleId="2CF37665BC1A48C0BBAAEBE25FA91404">
    <w:name w:val="2CF37665BC1A48C0BBAAEBE25FA91404"/>
    <w:rsid w:val="00166CCA"/>
  </w:style>
  <w:style w:type="paragraph" w:customStyle="1" w:styleId="5A72D920A1A34FE8AFFF4F8D5A9CF218">
    <w:name w:val="5A72D920A1A34FE8AFFF4F8D5A9CF218"/>
    <w:rsid w:val="00166CCA"/>
  </w:style>
  <w:style w:type="paragraph" w:customStyle="1" w:styleId="48707A7706A24554B7CF08CA8656AB43">
    <w:name w:val="48707A7706A24554B7CF08CA8656AB43"/>
    <w:rsid w:val="00166CCA"/>
  </w:style>
  <w:style w:type="paragraph" w:customStyle="1" w:styleId="951C255BBEFA4ECEA2BBA6017D35E2E5">
    <w:name w:val="951C255BBEFA4ECEA2BBA6017D35E2E5"/>
    <w:rsid w:val="00166CCA"/>
  </w:style>
  <w:style w:type="paragraph" w:customStyle="1" w:styleId="034FAEDF5E0644A2B6530BDFB3A55C90">
    <w:name w:val="034FAEDF5E0644A2B6530BDFB3A55C90"/>
    <w:rsid w:val="00166CCA"/>
  </w:style>
  <w:style w:type="paragraph" w:customStyle="1" w:styleId="EE5BC08F52F54F068754EDE450A71E3E">
    <w:name w:val="EE5BC08F52F54F068754EDE450A71E3E"/>
    <w:rsid w:val="00166CCA"/>
  </w:style>
  <w:style w:type="paragraph" w:customStyle="1" w:styleId="664BA5E56E3B42DEBD2B9EA3D00E67AD">
    <w:name w:val="664BA5E56E3B42DEBD2B9EA3D00E67AD"/>
    <w:rsid w:val="00166CCA"/>
  </w:style>
  <w:style w:type="paragraph" w:customStyle="1" w:styleId="D3ED77BCB1DF432E8808B871CDA97DD5">
    <w:name w:val="D3ED77BCB1DF432E8808B871CDA97DD5"/>
    <w:rsid w:val="00166CCA"/>
  </w:style>
  <w:style w:type="paragraph" w:customStyle="1" w:styleId="42CA7473FD8444B8802821A161462259">
    <w:name w:val="42CA7473FD8444B8802821A161462259"/>
    <w:rsid w:val="00166CCA"/>
  </w:style>
  <w:style w:type="paragraph" w:customStyle="1" w:styleId="4C5FED326BCA43348EC5280DC1D61812">
    <w:name w:val="4C5FED326BCA43348EC5280DC1D61812"/>
    <w:rsid w:val="00166CCA"/>
  </w:style>
  <w:style w:type="paragraph" w:customStyle="1" w:styleId="7C372AE415E9460B8E4076CF5AE9D88B">
    <w:name w:val="7C372AE415E9460B8E4076CF5AE9D88B"/>
    <w:rsid w:val="00166CCA"/>
  </w:style>
  <w:style w:type="paragraph" w:customStyle="1" w:styleId="2A94AD7E07704A2982A9145D5230B935">
    <w:name w:val="2A94AD7E07704A2982A9145D5230B935"/>
    <w:rsid w:val="00166CCA"/>
  </w:style>
  <w:style w:type="paragraph" w:customStyle="1" w:styleId="D793C8369C7642F4ADC7A83D58C9F9E1">
    <w:name w:val="D793C8369C7642F4ADC7A83D58C9F9E1"/>
    <w:rsid w:val="00166CCA"/>
  </w:style>
  <w:style w:type="paragraph" w:customStyle="1" w:styleId="2382244AFA514B399229A80D034AF33C">
    <w:name w:val="2382244AFA514B399229A80D034AF33C"/>
    <w:rsid w:val="00166CCA"/>
  </w:style>
  <w:style w:type="paragraph" w:customStyle="1" w:styleId="7BE219BEC3904958AA6710517C7BB7FB">
    <w:name w:val="7BE219BEC3904958AA6710517C7BB7FB"/>
    <w:rsid w:val="00166CCA"/>
  </w:style>
  <w:style w:type="paragraph" w:customStyle="1" w:styleId="25CD0E140F3B4AF2A5DCEC5423B57A79">
    <w:name w:val="25CD0E140F3B4AF2A5DCEC5423B57A79"/>
    <w:rsid w:val="00166CCA"/>
  </w:style>
  <w:style w:type="paragraph" w:customStyle="1" w:styleId="3FD0096E94E543B0BCCC9127BD8E80B7">
    <w:name w:val="3FD0096E94E543B0BCCC9127BD8E80B7"/>
    <w:rsid w:val="00166CCA"/>
  </w:style>
  <w:style w:type="paragraph" w:customStyle="1" w:styleId="FE5D839A7BF74061A63693E463A5BD01">
    <w:name w:val="FE5D839A7BF74061A63693E463A5BD01"/>
    <w:rsid w:val="00166CCA"/>
  </w:style>
  <w:style w:type="paragraph" w:customStyle="1" w:styleId="C97F9CE7D45C4607A3FDBD4FC8E2F010">
    <w:name w:val="C97F9CE7D45C4607A3FDBD4FC8E2F010"/>
    <w:rsid w:val="00166CCA"/>
  </w:style>
  <w:style w:type="paragraph" w:customStyle="1" w:styleId="7FADC7594499473E8BF8C61204F1FAB7">
    <w:name w:val="7FADC7594499473E8BF8C61204F1FAB7"/>
    <w:rsid w:val="00166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6EC3E9B130548AB9ECADFE629700B" ma:contentTypeVersion="19" ma:contentTypeDescription="Create a new document." ma:contentTypeScope="" ma:versionID="98be35ee71788a53f86f8d1b32275287">
  <xsd:schema xmlns:xsd="http://www.w3.org/2001/XMLSchema" xmlns:xs="http://www.w3.org/2001/XMLSchema" xmlns:p="http://schemas.microsoft.com/office/2006/metadata/properties" xmlns:ns2="af758f8c-29c3-43ed-b02b-4e93961f5ebd" xmlns:ns3="85069868-08e0-4c86-ad8f-5531570550f0" targetNamespace="http://schemas.microsoft.com/office/2006/metadata/properties" ma:root="true" ma:fieldsID="5daffde9902cf695f28eaba37a9093b5" ns2:_="" ns3:_="">
    <xsd:import namespace="af758f8c-29c3-43ed-b02b-4e93961f5ebd"/>
    <xsd:import namespace="85069868-08e0-4c86-ad8f-553157055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58f8c-29c3-43ed-b02b-4e93961f5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fdad4-022a-49ae-a673-dd470a3ed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69868-08e0-4c86-ad8f-55315705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093065-6dc5-421c-b47a-921b9087c8dc}" ma:internalName="TaxCatchAll" ma:showField="CatchAllData" ma:web="85069868-08e0-4c86-ad8f-553157055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069868-08e0-4c86-ad8f-5531570550f0" xsi:nil="true"/>
    <lcf76f155ced4ddcb4097134ff3c332f xmlns="af758f8c-29c3-43ed-b02b-4e93961f5e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C03E3E-39AC-49DF-AFAC-4991CF9675FD}"/>
</file>

<file path=customXml/itemProps2.xml><?xml version="1.0" encoding="utf-8"?>
<ds:datastoreItem xmlns:ds="http://schemas.openxmlformats.org/officeDocument/2006/customXml" ds:itemID="{DFA36C96-3E56-410C-B534-1E46F0969A9F}"/>
</file>

<file path=customXml/itemProps3.xml><?xml version="1.0" encoding="utf-8"?>
<ds:datastoreItem xmlns:ds="http://schemas.openxmlformats.org/officeDocument/2006/customXml" ds:itemID="{E50C9ACC-E51D-4638-9079-F61C34B3015F}"/>
</file>

<file path=docProps/app.xml><?xml version="1.0" encoding="utf-8"?>
<Properties xmlns="http://schemas.openxmlformats.org/officeDocument/2006/extended-properties" xmlns:vt="http://schemas.openxmlformats.org/officeDocument/2006/docPropsVTypes">
  <Template>Normal</Template>
  <TotalTime>11</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Freeman</dc:creator>
  <cp:keywords/>
  <dc:description/>
  <cp:lastModifiedBy>Brooke Matthews</cp:lastModifiedBy>
  <cp:revision>3</cp:revision>
  <dcterms:created xsi:type="dcterms:W3CDTF">2024-08-21T17:33:00Z</dcterms:created>
  <dcterms:modified xsi:type="dcterms:W3CDTF">2024-08-21T17:38:00Z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0x010100AA96EC3E9B130548AB9ECADFE629700B</vt:lpwstr>
  </property>
</Properties>
</file>